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9A53C" w14:textId="77777777" w:rsidR="007814A8" w:rsidRDefault="007814A8" w:rsidP="007814A8">
      <w:pPr>
        <w:pStyle w:val="CRCoverPage"/>
        <w:tabs>
          <w:tab w:val="right" w:pos="9639"/>
        </w:tabs>
        <w:spacing w:after="0"/>
        <w:rPr>
          <w:b/>
          <w:i/>
          <w:noProof/>
          <w:sz w:val="28"/>
        </w:rPr>
      </w:pPr>
      <w:r>
        <w:rPr>
          <w:b/>
          <w:noProof/>
          <w:sz w:val="24"/>
        </w:rPr>
        <w:t>3GPP TSG-CT WG4 Meeting #89</w:t>
      </w:r>
      <w:r>
        <w:rPr>
          <w:b/>
          <w:i/>
          <w:noProof/>
          <w:sz w:val="28"/>
        </w:rPr>
        <w:tab/>
      </w:r>
      <w:r w:rsidR="006178BF" w:rsidRPr="006178BF">
        <w:rPr>
          <w:b/>
          <w:noProof/>
          <w:sz w:val="24"/>
        </w:rPr>
        <w:t>C4-190245</w:t>
      </w:r>
    </w:p>
    <w:p w14:paraId="3A04AC3D" w14:textId="77777777" w:rsidR="007814A8" w:rsidRDefault="007814A8" w:rsidP="007814A8">
      <w:pPr>
        <w:pStyle w:val="CRCoverPage"/>
        <w:outlineLvl w:val="0"/>
        <w:rPr>
          <w:b/>
          <w:noProof/>
          <w:sz w:val="24"/>
        </w:rPr>
      </w:pPr>
      <w:r>
        <w:rPr>
          <w:b/>
          <w:noProof/>
          <w:sz w:val="24"/>
        </w:rPr>
        <w:t>Montreal, Canada; 25</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w:t>
      </w:r>
    </w:p>
    <w:p w14:paraId="605077E6" w14:textId="77777777" w:rsidR="00DD40D2" w:rsidRDefault="00DD40D2">
      <w:pPr>
        <w:spacing w:after="120"/>
        <w:ind w:left="1985" w:hanging="1985"/>
        <w:rPr>
          <w:rFonts w:ascii="Arial" w:hAnsi="Arial" w:cs="Arial"/>
          <w:b/>
          <w:bCs/>
        </w:rPr>
      </w:pPr>
    </w:p>
    <w:p w14:paraId="0A14A74C" w14:textId="7777777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4455D6">
        <w:rPr>
          <w:rFonts w:ascii="Arial" w:hAnsi="Arial" w:cs="Arial" w:hint="eastAsia"/>
          <w:b/>
          <w:bCs/>
          <w:lang w:eastAsia="ja-JP"/>
        </w:rPr>
        <w:t>NTT</w:t>
      </w:r>
      <w:r w:rsidR="004455D6">
        <w:rPr>
          <w:rFonts w:ascii="Arial" w:hAnsi="Arial" w:cs="Arial"/>
          <w:b/>
          <w:bCs/>
        </w:rPr>
        <w:t xml:space="preserve"> DOCOMO</w:t>
      </w:r>
    </w:p>
    <w:p w14:paraId="5562C1EF" w14:textId="7777777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w:t>
      </w:r>
      <w:r w:rsidR="004455D6">
        <w:rPr>
          <w:rFonts w:ascii="Arial" w:hAnsi="Arial" w:cs="Arial"/>
          <w:b/>
          <w:bCs/>
        </w:rPr>
        <w:t>TS 29.503)</w:t>
      </w:r>
      <w:r>
        <w:rPr>
          <w:rFonts w:ascii="Arial" w:hAnsi="Arial" w:cs="Arial"/>
          <w:b/>
          <w:bCs/>
        </w:rPr>
        <w:t xml:space="preserve"> </w:t>
      </w:r>
      <w:r w:rsidR="004455D6">
        <w:rPr>
          <w:rFonts w:ascii="Arial" w:hAnsi="Arial" w:cs="Arial"/>
          <w:b/>
          <w:bCs/>
        </w:rPr>
        <w:t>Failure notice for SoR from AMF to UDM</w:t>
      </w:r>
    </w:p>
    <w:p w14:paraId="48B6D7EC" w14:textId="77777777" w:rsidR="00236D1F" w:rsidRPr="006178BF" w:rsidRDefault="00236D1F" w:rsidP="006178B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6178BF" w:rsidRPr="006178BF">
        <w:rPr>
          <w:rFonts w:ascii="Arial" w:hAnsi="Arial" w:cs="Arial"/>
          <w:b/>
          <w:bCs/>
        </w:rPr>
        <w:t>7.2.1.4</w:t>
      </w:r>
    </w:p>
    <w:p w14:paraId="29865A5E" w14:textId="0964F37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w:t>
      </w:r>
      <w:r w:rsidR="00DB3373">
        <w:rPr>
          <w:rFonts w:ascii="Arial" w:hAnsi="Arial" w:cs="Arial"/>
          <w:b/>
          <w:bCs/>
        </w:rPr>
        <w:t>iscussion and Agreement</w:t>
      </w:r>
      <w:bookmarkStart w:id="0" w:name="_GoBack"/>
      <w:bookmarkEnd w:id="0"/>
    </w:p>
    <w:p w14:paraId="224595A0" w14:textId="77777777" w:rsidR="00236D1F" w:rsidRDefault="00236D1F">
      <w:pPr>
        <w:pBdr>
          <w:bottom w:val="single" w:sz="4" w:space="1" w:color="auto"/>
        </w:pBdr>
        <w:rPr>
          <w:rFonts w:ascii="Arial" w:hAnsi="Arial" w:cs="Arial"/>
          <w:b/>
          <w:bCs/>
        </w:rPr>
      </w:pPr>
    </w:p>
    <w:p w14:paraId="6289EDEB" w14:textId="77777777" w:rsidR="00236D1F" w:rsidRDefault="00236D1F">
      <w:pPr>
        <w:rPr>
          <w:rFonts w:ascii="Arial" w:hAnsi="Arial" w:cs="Arial"/>
          <w:b/>
          <w:bCs/>
        </w:rPr>
      </w:pPr>
    </w:p>
    <w:p w14:paraId="6079458F" w14:textId="77777777" w:rsidR="003554FA" w:rsidRDefault="0073515B" w:rsidP="00112A0B">
      <w:pPr>
        <w:pStyle w:val="1"/>
        <w:numPr>
          <w:ilvl w:val="0"/>
          <w:numId w:val="4"/>
        </w:numPr>
        <w:rPr>
          <w:lang w:eastAsia="ja-JP"/>
        </w:rPr>
      </w:pPr>
      <w:r>
        <w:rPr>
          <w:rFonts w:hint="eastAsia"/>
          <w:lang w:eastAsia="ja-JP"/>
        </w:rPr>
        <w:t>Introduction</w:t>
      </w:r>
    </w:p>
    <w:p w14:paraId="276E5C16" w14:textId="77777777" w:rsidR="003554FA" w:rsidRDefault="00F52B70">
      <w:pPr>
        <w:rPr>
          <w:rFonts w:ascii="Arial" w:hAnsi="Arial" w:cs="Arial"/>
          <w:bCs/>
          <w:lang w:eastAsia="ja-JP"/>
        </w:rPr>
      </w:pPr>
      <w:r w:rsidRPr="00F52B70">
        <w:rPr>
          <w:rFonts w:ascii="Arial" w:hAnsi="Arial" w:cs="Arial" w:hint="eastAsia"/>
          <w:bCs/>
          <w:lang w:eastAsia="ja-JP"/>
        </w:rPr>
        <w:t>SoR</w:t>
      </w:r>
      <w:r>
        <w:rPr>
          <w:rFonts w:ascii="Arial" w:hAnsi="Arial" w:cs="Arial"/>
          <w:bCs/>
          <w:lang w:eastAsia="ja-JP"/>
        </w:rPr>
        <w:t xml:space="preserve"> using NAS signalling is specified for 5GS, and related successful procedures are covered in relevant stage 2 and 3 specifications. However, there seems to be a lack when considering the failure case, and some additional specification may be required to handle this case. This contribution addresses the issue and to seek a way forward.</w:t>
      </w:r>
    </w:p>
    <w:p w14:paraId="4FCF895D" w14:textId="77777777" w:rsidR="007D1F35" w:rsidRDefault="007D1F35">
      <w:pPr>
        <w:rPr>
          <w:rFonts w:ascii="Arial" w:hAnsi="Arial" w:cs="Arial"/>
          <w:bCs/>
          <w:lang w:eastAsia="ja-JP"/>
        </w:rPr>
      </w:pPr>
    </w:p>
    <w:p w14:paraId="67D598AA" w14:textId="77777777" w:rsidR="00F52B70" w:rsidRPr="00F52B70" w:rsidRDefault="00F52B70">
      <w:pPr>
        <w:rPr>
          <w:rFonts w:ascii="Arial" w:hAnsi="Arial" w:cs="Arial"/>
          <w:bCs/>
          <w:lang w:eastAsia="ja-JP"/>
        </w:rPr>
      </w:pPr>
    </w:p>
    <w:p w14:paraId="084E9079" w14:textId="77777777" w:rsidR="0073515B" w:rsidRDefault="0073515B" w:rsidP="00112A0B">
      <w:pPr>
        <w:pStyle w:val="1"/>
        <w:numPr>
          <w:ilvl w:val="0"/>
          <w:numId w:val="4"/>
        </w:numPr>
        <w:rPr>
          <w:lang w:eastAsia="ja-JP"/>
        </w:rPr>
      </w:pPr>
      <w:r>
        <w:rPr>
          <w:rFonts w:hint="eastAsia"/>
          <w:lang w:eastAsia="ja-JP"/>
        </w:rPr>
        <w:t>Discussion</w:t>
      </w:r>
    </w:p>
    <w:p w14:paraId="490915D9" w14:textId="77777777" w:rsidR="003554FA" w:rsidRDefault="0073515B" w:rsidP="00112A0B">
      <w:pPr>
        <w:pStyle w:val="2"/>
        <w:numPr>
          <w:ilvl w:val="1"/>
          <w:numId w:val="4"/>
        </w:numPr>
        <w:rPr>
          <w:lang w:eastAsia="ja-JP"/>
        </w:rPr>
      </w:pPr>
      <w:r>
        <w:rPr>
          <w:rFonts w:hint="eastAsia"/>
          <w:lang w:eastAsia="ja-JP"/>
        </w:rPr>
        <w:t xml:space="preserve">Necessity of reporting failure of SoR information delivery </w:t>
      </w:r>
      <w:r>
        <w:rPr>
          <w:lang w:eastAsia="ja-JP"/>
        </w:rPr>
        <w:t>–</w:t>
      </w:r>
      <w:r>
        <w:rPr>
          <w:rFonts w:hint="eastAsia"/>
          <w:lang w:eastAsia="ja-JP"/>
        </w:rPr>
        <w:t xml:space="preserve"> during </w:t>
      </w:r>
      <w:r>
        <w:rPr>
          <w:lang w:eastAsia="ja-JP"/>
        </w:rPr>
        <w:t>registration</w:t>
      </w:r>
    </w:p>
    <w:p w14:paraId="7C97FFE4" w14:textId="77777777" w:rsidR="003554FA" w:rsidRDefault="003554FA">
      <w:pPr>
        <w:rPr>
          <w:rFonts w:ascii="Arial" w:hAnsi="Arial" w:cs="Arial"/>
          <w:b/>
          <w:bCs/>
          <w:lang w:eastAsia="ja-JP"/>
        </w:rPr>
      </w:pPr>
    </w:p>
    <w:p w14:paraId="6E40DAC4" w14:textId="77777777" w:rsidR="003554FA" w:rsidRDefault="005B2ED2" w:rsidP="003554FA">
      <w:pPr>
        <w:rPr>
          <w:rFonts w:ascii="Arial" w:hAnsi="Arial" w:cs="Arial"/>
          <w:bCs/>
        </w:rPr>
      </w:pPr>
      <w:r>
        <w:rPr>
          <w:rFonts w:ascii="Arial" w:hAnsi="Arial" w:cs="Arial"/>
          <w:bCs/>
        </w:rPr>
        <w:t xml:space="preserve">The Stage 2 of </w:t>
      </w:r>
      <w:r w:rsidR="003554FA">
        <w:rPr>
          <w:rFonts w:ascii="Arial" w:hAnsi="Arial" w:cs="Arial"/>
          <w:bCs/>
        </w:rPr>
        <w:t>SoR using NAS signalling is specified in TS 23.122, and for SoR</w:t>
      </w:r>
      <w:r>
        <w:rPr>
          <w:rFonts w:ascii="Arial" w:hAnsi="Arial" w:cs="Arial"/>
          <w:bCs/>
        </w:rPr>
        <w:t xml:space="preserve"> information</w:t>
      </w:r>
      <w:r w:rsidR="003554FA">
        <w:rPr>
          <w:rFonts w:ascii="Arial" w:hAnsi="Arial" w:cs="Arial"/>
          <w:bCs/>
        </w:rPr>
        <w:t xml:space="preserve"> provided during the </w:t>
      </w:r>
      <w:r>
        <w:rPr>
          <w:rFonts w:ascii="Arial" w:hAnsi="Arial" w:cs="Arial"/>
          <w:bCs/>
        </w:rPr>
        <w:t xml:space="preserve">initial </w:t>
      </w:r>
      <w:r w:rsidR="003554FA">
        <w:rPr>
          <w:rFonts w:ascii="Arial" w:hAnsi="Arial" w:cs="Arial"/>
          <w:bCs/>
        </w:rPr>
        <w:t xml:space="preserve">registration, UDM </w:t>
      </w:r>
      <w:r>
        <w:rPr>
          <w:rFonts w:ascii="Arial" w:hAnsi="Arial" w:cs="Arial"/>
          <w:bCs/>
        </w:rPr>
        <w:t>provides the AMF the list that will be delivered to UE in REGISTRATION ACCEPT, and Acknowledgement of successful delivery is sent back from UE to AMF in the REGISTRATION COMPLETE, and further from AMF to UDM via Nudm_SDM_Info, as described below.</w:t>
      </w:r>
    </w:p>
    <w:p w14:paraId="491584AB" w14:textId="77777777" w:rsidR="003554FA" w:rsidRDefault="003554FA" w:rsidP="003554FA">
      <w:pPr>
        <w:rPr>
          <w:rFonts w:ascii="Arial" w:hAnsi="Arial" w:cs="Arial"/>
          <w:bCs/>
        </w:rPr>
      </w:pPr>
    </w:p>
    <w:p w14:paraId="598F6A83" w14:textId="77777777" w:rsidR="003554FA" w:rsidRPr="002F4191" w:rsidRDefault="002F4191" w:rsidP="002F4191">
      <w:pPr>
        <w:jc w:val="center"/>
        <w:rPr>
          <w:rFonts w:ascii="Arial" w:hAnsi="Arial" w:cs="Arial"/>
          <w:b/>
          <w:bCs/>
          <w:lang w:eastAsia="ja-JP"/>
        </w:rPr>
      </w:pPr>
      <w:r w:rsidRPr="002F4191">
        <w:rPr>
          <w:rFonts w:ascii="Arial" w:hAnsi="Arial" w:cs="Arial"/>
          <w:b/>
          <w:bCs/>
          <w:lang w:eastAsia="ja-JP"/>
        </w:rPr>
        <w:t>Extract</w:t>
      </w:r>
      <w:r w:rsidR="005B2ED2" w:rsidRPr="002F4191">
        <w:rPr>
          <w:rFonts w:ascii="Arial" w:hAnsi="Arial" w:cs="Arial"/>
          <w:b/>
          <w:bCs/>
          <w:lang w:eastAsia="ja-JP"/>
        </w:rPr>
        <w:t xml:space="preserve"> f</w:t>
      </w:r>
      <w:r w:rsidR="003554FA" w:rsidRPr="002F4191">
        <w:rPr>
          <w:rFonts w:ascii="Arial" w:hAnsi="Arial" w:cs="Arial" w:hint="eastAsia"/>
          <w:b/>
          <w:bCs/>
          <w:lang w:eastAsia="ja-JP"/>
        </w:rPr>
        <w:t>rom</w:t>
      </w:r>
      <w:r w:rsidR="003554FA" w:rsidRPr="002F4191">
        <w:rPr>
          <w:rFonts w:ascii="Arial" w:hAnsi="Arial" w:cs="Arial"/>
          <w:b/>
          <w:bCs/>
          <w:lang w:eastAsia="ja-JP"/>
        </w:rPr>
        <w:t xml:space="preserve"> TS 23.122 Annex C.2</w:t>
      </w:r>
      <w:r w:rsidRPr="002F4191">
        <w:rPr>
          <w:rFonts w:ascii="Arial" w:hAnsi="Arial" w:cs="Arial"/>
          <w:b/>
          <w:bCs/>
          <w:lang w:eastAsia="ja-JP"/>
        </w:rPr>
        <w:t xml:space="preserve"> “Stage-2 flow for steering of UE in VPLMN during registration”</w:t>
      </w:r>
      <w:r w:rsidR="005F1FC3">
        <w:rPr>
          <w:rFonts w:ascii="Arial" w:hAnsi="Arial" w:cs="Arial"/>
          <w:b/>
          <w:bCs/>
          <w:lang w:eastAsia="ja-JP"/>
        </w:rPr>
        <w:br/>
        <w:t>indicating the successful SoR information delivery with acknowledgement sent back to UDM</w:t>
      </w:r>
    </w:p>
    <w:tbl>
      <w:tblPr>
        <w:tblStyle w:val="a9"/>
        <w:tblW w:w="0" w:type="auto"/>
        <w:tblLook w:val="04A0" w:firstRow="1" w:lastRow="0" w:firstColumn="1" w:lastColumn="0" w:noHBand="0" w:noVBand="1"/>
      </w:tblPr>
      <w:tblGrid>
        <w:gridCol w:w="9855"/>
      </w:tblGrid>
      <w:tr w:rsidR="003554FA" w14:paraId="35EE2827" w14:textId="77777777" w:rsidTr="003554FA">
        <w:tc>
          <w:tcPr>
            <w:tcW w:w="10063" w:type="dxa"/>
          </w:tcPr>
          <w:p w14:paraId="6DF60DFC" w14:textId="77777777" w:rsidR="003554FA" w:rsidRDefault="00F116EE" w:rsidP="003554FA">
            <w:r>
              <w:rPr>
                <w:noProof/>
                <w:lang w:val="en-US" w:eastAsia="ja-JP"/>
              </w:rPr>
              <w:lastRenderedPageBreak/>
              <w:drawing>
                <wp:inline distT="0" distB="0" distL="0" distR="0" wp14:anchorId="414D56E2" wp14:editId="4F0AE408">
                  <wp:extent cx="6111240" cy="4686300"/>
                  <wp:effectExtent l="0" t="0" r="0" b="0"/>
                  <wp:docPr id="1" name="Picture 1"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1240" cy="4686300"/>
                          </a:xfrm>
                          <a:prstGeom prst="rect">
                            <a:avLst/>
                          </a:prstGeom>
                          <a:noFill/>
                          <a:ln>
                            <a:noFill/>
                          </a:ln>
                        </pic:spPr>
                      </pic:pic>
                    </a:graphicData>
                  </a:graphic>
                </wp:inline>
              </w:drawing>
            </w:r>
          </w:p>
          <w:p w14:paraId="13837A0E" w14:textId="77777777" w:rsidR="003554FA" w:rsidRPr="003554FA" w:rsidRDefault="003554FA" w:rsidP="005F1FC3">
            <w:pPr>
              <w:pStyle w:val="TF"/>
              <w:rPr>
                <w:rFonts w:cs="Arial"/>
                <w:bCs/>
              </w:rPr>
            </w:pPr>
            <w:r w:rsidRPr="0022618C">
              <w:t>Fig</w:t>
            </w:r>
            <w:r>
              <w:t>ure</w:t>
            </w:r>
            <w:r>
              <w:rPr>
                <w:noProof/>
              </w:rPr>
              <w:t> </w:t>
            </w:r>
            <w:r>
              <w:t>C.</w:t>
            </w:r>
            <w:r w:rsidRPr="005A0EA5">
              <w:rPr>
                <w:lang w:val="en-GB"/>
              </w:rPr>
              <w:t>2</w:t>
            </w:r>
            <w:r>
              <w:t>.1:</w:t>
            </w:r>
            <w:r w:rsidRPr="0022618C">
              <w:t xml:space="preserve"> </w:t>
            </w:r>
            <w:r>
              <w:t>P</w:t>
            </w:r>
            <w:r w:rsidRPr="003B540A">
              <w:t>rocedure</w:t>
            </w:r>
            <w:r>
              <w:t xml:space="preserve"> for providing </w:t>
            </w:r>
            <w:r w:rsidRPr="008928AB">
              <w:t>list of preferred PLMN/access technology combinations</w:t>
            </w:r>
          </w:p>
        </w:tc>
      </w:tr>
    </w:tbl>
    <w:p w14:paraId="0C873B6F" w14:textId="77777777" w:rsidR="003554FA" w:rsidRDefault="003554FA" w:rsidP="003554FA">
      <w:pPr>
        <w:rPr>
          <w:rFonts w:ascii="Arial" w:hAnsi="Arial" w:cs="Arial"/>
          <w:bCs/>
          <w:lang w:eastAsia="ja-JP"/>
        </w:rPr>
      </w:pPr>
    </w:p>
    <w:p w14:paraId="3AFFCDF1" w14:textId="53FBC6E6" w:rsidR="005B2ED2" w:rsidRDefault="005B2ED2" w:rsidP="003554FA">
      <w:pPr>
        <w:rPr>
          <w:rFonts w:ascii="Arial" w:hAnsi="Arial" w:cs="Arial"/>
          <w:bCs/>
        </w:rPr>
      </w:pPr>
      <w:r>
        <w:rPr>
          <w:rFonts w:ascii="Arial" w:hAnsi="Arial" w:cs="Arial"/>
          <w:bCs/>
        </w:rPr>
        <w:t xml:space="preserve">However, </w:t>
      </w:r>
      <w:r w:rsidR="003554FA" w:rsidRPr="009A1B7D">
        <w:rPr>
          <w:rFonts w:ascii="Arial" w:hAnsi="Arial" w:cs="Arial"/>
          <w:b/>
          <w:bCs/>
        </w:rPr>
        <w:t>the initial registration</w:t>
      </w:r>
      <w:r w:rsidRPr="009A1B7D">
        <w:rPr>
          <w:rFonts w:ascii="Arial" w:hAnsi="Arial" w:cs="Arial"/>
          <w:b/>
          <w:bCs/>
        </w:rPr>
        <w:t xml:space="preserve"> may not be accepted by the network</w:t>
      </w:r>
      <w:r>
        <w:rPr>
          <w:rFonts w:ascii="Arial" w:hAnsi="Arial" w:cs="Arial"/>
          <w:bCs/>
        </w:rPr>
        <w:t xml:space="preserve"> for various reasons. In this case</w:t>
      </w:r>
      <w:r w:rsidR="002F4191">
        <w:rPr>
          <w:rFonts w:ascii="Arial" w:hAnsi="Arial" w:cs="Arial"/>
          <w:bCs/>
        </w:rPr>
        <w:t>,</w:t>
      </w:r>
      <w:r>
        <w:rPr>
          <w:rFonts w:ascii="Arial" w:hAnsi="Arial" w:cs="Arial"/>
          <w:bCs/>
        </w:rPr>
        <w:t xml:space="preserve"> AMF shall send a REGISTRATION REJECT message to UE instead of REGISTRATION ACCEPT as described in step 6 in the </w:t>
      </w:r>
      <w:r w:rsidR="002F4191">
        <w:rPr>
          <w:rFonts w:ascii="Arial" w:hAnsi="Arial" w:cs="Arial"/>
          <w:bCs/>
        </w:rPr>
        <w:t>figure</w:t>
      </w:r>
      <w:r>
        <w:rPr>
          <w:rFonts w:ascii="Arial" w:hAnsi="Arial" w:cs="Arial"/>
          <w:bCs/>
        </w:rPr>
        <w:t xml:space="preserve"> above.</w:t>
      </w:r>
      <w:r w:rsidR="000B6E86">
        <w:rPr>
          <w:rFonts w:ascii="Arial" w:hAnsi="Arial" w:cs="Arial"/>
          <w:bCs/>
        </w:rPr>
        <w:t xml:space="preserve"> While the UE will receive adequate NAS 5GMM cause value to determine the next action, further </w:t>
      </w:r>
      <w:r w:rsidR="000B6E86" w:rsidRPr="002F4191">
        <w:rPr>
          <w:rFonts w:ascii="Arial" w:hAnsi="Arial" w:cs="Arial"/>
          <w:b/>
          <w:bCs/>
        </w:rPr>
        <w:t>steps after step 7 will not take place in this case</w:t>
      </w:r>
      <w:r w:rsidR="002F4191" w:rsidRPr="002F4191">
        <w:rPr>
          <w:rFonts w:ascii="Arial" w:hAnsi="Arial" w:cs="Arial"/>
          <w:b/>
          <w:bCs/>
        </w:rPr>
        <w:t>, i.e. if registration is no</w:t>
      </w:r>
      <w:r w:rsidR="00F116EE">
        <w:rPr>
          <w:rFonts w:ascii="Arial" w:hAnsi="Arial" w:cs="Arial"/>
          <w:b/>
          <w:bCs/>
        </w:rPr>
        <w:t>t</w:t>
      </w:r>
      <w:r w:rsidR="002F4191" w:rsidRPr="002F4191">
        <w:rPr>
          <w:rFonts w:ascii="Arial" w:hAnsi="Arial" w:cs="Arial"/>
          <w:b/>
          <w:bCs/>
        </w:rPr>
        <w:t xml:space="preserve"> accepted</w:t>
      </w:r>
      <w:r w:rsidR="000B6E86" w:rsidRPr="002F4191">
        <w:rPr>
          <w:rFonts w:ascii="Arial" w:hAnsi="Arial" w:cs="Arial"/>
          <w:b/>
          <w:bCs/>
        </w:rPr>
        <w:t>, and acknowledgement of SoR as specified in step 10 will not be sent</w:t>
      </w:r>
      <w:r w:rsidR="000B6E86">
        <w:rPr>
          <w:rFonts w:ascii="Arial" w:hAnsi="Arial" w:cs="Arial"/>
          <w:bCs/>
        </w:rPr>
        <w:t>.</w:t>
      </w:r>
    </w:p>
    <w:p w14:paraId="028C6E5F" w14:textId="77777777" w:rsidR="000B6E86" w:rsidRDefault="000B6E86" w:rsidP="003554FA">
      <w:pPr>
        <w:rPr>
          <w:rFonts w:ascii="Arial" w:hAnsi="Arial" w:cs="Arial"/>
          <w:bCs/>
        </w:rPr>
      </w:pPr>
    </w:p>
    <w:p w14:paraId="6072E17D" w14:textId="77777777" w:rsidR="009A1B7D" w:rsidRDefault="002F4191" w:rsidP="009A1B7D">
      <w:pPr>
        <w:rPr>
          <w:rFonts w:ascii="Arial" w:hAnsi="Arial" w:cs="Arial"/>
          <w:bCs/>
          <w:lang w:eastAsia="ja-JP"/>
        </w:rPr>
      </w:pPr>
      <w:r>
        <w:rPr>
          <w:rFonts w:ascii="Arial" w:hAnsi="Arial" w:cs="Arial"/>
          <w:bCs/>
          <w:lang w:eastAsia="ja-JP"/>
        </w:rPr>
        <w:t>If the acknowledgment as described in step10 is not sent</w:t>
      </w:r>
      <w:r w:rsidR="000B6E86">
        <w:rPr>
          <w:rFonts w:ascii="Arial" w:hAnsi="Arial" w:cs="Arial" w:hint="eastAsia"/>
          <w:bCs/>
          <w:lang w:eastAsia="ja-JP"/>
        </w:rPr>
        <w:t xml:space="preserve">, HPLMN/UDM may continue to wait for the </w:t>
      </w:r>
      <w:r w:rsidR="000B6E86">
        <w:rPr>
          <w:rFonts w:ascii="Arial" w:hAnsi="Arial" w:cs="Arial"/>
          <w:bCs/>
          <w:lang w:eastAsia="ja-JP"/>
        </w:rPr>
        <w:t>acknowledgement</w:t>
      </w:r>
      <w:r w:rsidR="000B6E86">
        <w:rPr>
          <w:rFonts w:ascii="Arial" w:hAnsi="Arial" w:cs="Arial" w:hint="eastAsia"/>
          <w:bCs/>
          <w:lang w:eastAsia="ja-JP"/>
        </w:rPr>
        <w:t xml:space="preserve"> </w:t>
      </w:r>
      <w:r w:rsidR="000B6E86">
        <w:rPr>
          <w:rFonts w:ascii="Arial" w:hAnsi="Arial" w:cs="Arial"/>
          <w:bCs/>
          <w:lang w:eastAsia="ja-JP"/>
        </w:rPr>
        <w:t>of SoR from UE and/or expect the UE to register to another PLMN</w:t>
      </w:r>
      <w:r w:rsidR="002A2096">
        <w:rPr>
          <w:rFonts w:ascii="Arial" w:hAnsi="Arial" w:cs="Arial"/>
          <w:bCs/>
          <w:lang w:eastAsia="ja-JP"/>
        </w:rPr>
        <w:t xml:space="preserve">. </w:t>
      </w:r>
      <w:r w:rsidR="002A2096" w:rsidRPr="009A1B7D">
        <w:rPr>
          <w:rFonts w:ascii="Arial" w:hAnsi="Arial" w:cs="Arial"/>
          <w:b/>
          <w:bCs/>
          <w:lang w:eastAsia="ja-JP"/>
        </w:rPr>
        <w:t>This will</w:t>
      </w:r>
      <w:r w:rsidR="009A1B7D" w:rsidRPr="009A1B7D">
        <w:rPr>
          <w:rFonts w:ascii="Arial" w:hAnsi="Arial" w:cs="Arial"/>
          <w:b/>
          <w:bCs/>
          <w:lang w:eastAsia="ja-JP"/>
        </w:rPr>
        <w:t xml:space="preserve"> confuse</w:t>
      </w:r>
      <w:r w:rsidR="002A2096" w:rsidRPr="009A1B7D">
        <w:rPr>
          <w:rFonts w:ascii="Arial" w:hAnsi="Arial" w:cs="Arial"/>
          <w:b/>
          <w:bCs/>
          <w:lang w:eastAsia="ja-JP"/>
        </w:rPr>
        <w:t xml:space="preserve"> HPLMN </w:t>
      </w:r>
      <w:r w:rsidR="009A1B7D" w:rsidRPr="009A1B7D">
        <w:rPr>
          <w:rFonts w:ascii="Arial" w:hAnsi="Arial" w:cs="Arial"/>
          <w:b/>
          <w:bCs/>
          <w:lang w:eastAsia="ja-JP"/>
        </w:rPr>
        <w:t>on which VPLMN the UE is registered to, and may lead to insufficient SoR distribution in each destination</w:t>
      </w:r>
      <w:r w:rsidR="00A45685">
        <w:rPr>
          <w:rFonts w:ascii="Arial" w:hAnsi="Arial" w:cs="Arial"/>
          <w:b/>
          <w:bCs/>
          <w:lang w:eastAsia="ja-JP"/>
        </w:rPr>
        <w:t>. Also, UDM may not be able to instruct UE to change the VPLMN to another one at the time of registration</w:t>
      </w:r>
      <w:r w:rsidR="002A2096">
        <w:rPr>
          <w:rFonts w:ascii="Arial" w:hAnsi="Arial" w:cs="Arial"/>
          <w:bCs/>
          <w:lang w:eastAsia="ja-JP"/>
        </w:rPr>
        <w:t xml:space="preserve">. </w:t>
      </w:r>
    </w:p>
    <w:p w14:paraId="32417458" w14:textId="77777777" w:rsidR="000B6E86" w:rsidRDefault="009A1B7D" w:rsidP="009A1B7D">
      <w:pPr>
        <w:rPr>
          <w:rFonts w:ascii="Arial" w:hAnsi="Arial" w:cs="Arial"/>
          <w:bCs/>
          <w:lang w:eastAsia="ja-JP"/>
        </w:rPr>
      </w:pPr>
      <w:r>
        <w:rPr>
          <w:rFonts w:ascii="Arial" w:hAnsi="Arial" w:cs="Arial"/>
          <w:bCs/>
          <w:lang w:eastAsia="ja-JP"/>
        </w:rPr>
        <w:t>To avoid</w:t>
      </w:r>
      <w:r w:rsidR="002A2096">
        <w:rPr>
          <w:rFonts w:ascii="Arial" w:hAnsi="Arial" w:cs="Arial"/>
          <w:bCs/>
          <w:lang w:eastAsia="ja-JP"/>
        </w:rPr>
        <w:t xml:space="preserve"> </w:t>
      </w:r>
      <w:r>
        <w:rPr>
          <w:rFonts w:ascii="Arial" w:hAnsi="Arial" w:cs="Arial"/>
          <w:bCs/>
          <w:lang w:eastAsia="ja-JP"/>
        </w:rPr>
        <w:t xml:space="preserve">such case, </w:t>
      </w:r>
      <w:r w:rsidR="002A2096">
        <w:rPr>
          <w:rFonts w:ascii="Arial" w:hAnsi="Arial" w:cs="Arial"/>
          <w:bCs/>
          <w:lang w:eastAsia="ja-JP"/>
        </w:rPr>
        <w:t xml:space="preserve">there should be a mechanism for HPLMN/UDM to understand that SoR has not been performed by UE because the UE has not received the related </w:t>
      </w:r>
      <w:r>
        <w:rPr>
          <w:rFonts w:ascii="Arial" w:hAnsi="Arial" w:cs="Arial"/>
          <w:bCs/>
          <w:lang w:eastAsia="ja-JP"/>
        </w:rPr>
        <w:t xml:space="preserve">SoR </w:t>
      </w:r>
      <w:r w:rsidR="002A2096">
        <w:rPr>
          <w:rFonts w:ascii="Arial" w:hAnsi="Arial" w:cs="Arial"/>
          <w:bCs/>
          <w:lang w:eastAsia="ja-JP"/>
        </w:rPr>
        <w:t xml:space="preserve">information. Also, HPLMN should be able to validate that the VPLMN has not tampered the SoR information that HPLMN has provided, </w:t>
      </w:r>
      <w:r>
        <w:rPr>
          <w:rFonts w:ascii="Arial" w:hAnsi="Arial" w:cs="Arial"/>
          <w:bCs/>
          <w:lang w:eastAsia="ja-JP"/>
        </w:rPr>
        <w:t xml:space="preserve">i.e. </w:t>
      </w:r>
      <w:r w:rsidR="002A2096">
        <w:rPr>
          <w:rFonts w:ascii="Arial" w:hAnsi="Arial" w:cs="Arial"/>
          <w:bCs/>
          <w:lang w:eastAsia="ja-JP"/>
        </w:rPr>
        <w:t>verify whether any anti-SoR has taken place.</w:t>
      </w:r>
    </w:p>
    <w:p w14:paraId="14192F16" w14:textId="77777777" w:rsidR="002A2096" w:rsidRDefault="002A2096" w:rsidP="003554FA">
      <w:pPr>
        <w:rPr>
          <w:rFonts w:ascii="Arial" w:hAnsi="Arial" w:cs="Arial"/>
          <w:bCs/>
        </w:rPr>
      </w:pPr>
    </w:p>
    <w:p w14:paraId="25300DAD" w14:textId="7D0A52A6" w:rsidR="000B6E86" w:rsidRDefault="002A2096" w:rsidP="003554FA">
      <w:pPr>
        <w:rPr>
          <w:rFonts w:ascii="Arial" w:hAnsi="Arial" w:cs="Arial"/>
          <w:bCs/>
        </w:rPr>
      </w:pPr>
      <w:r w:rsidRPr="003554FA">
        <w:rPr>
          <w:rFonts w:ascii="Arial" w:hAnsi="Arial" w:cs="Arial"/>
          <w:bCs/>
        </w:rPr>
        <w:t>Therefore</w:t>
      </w:r>
      <w:r>
        <w:rPr>
          <w:rFonts w:ascii="Arial" w:hAnsi="Arial" w:cs="Arial"/>
          <w:bCs/>
        </w:rPr>
        <w:t>,</w:t>
      </w:r>
      <w:r w:rsidRPr="003554FA">
        <w:rPr>
          <w:rFonts w:ascii="Arial" w:hAnsi="Arial" w:cs="Arial"/>
          <w:bCs/>
        </w:rPr>
        <w:t xml:space="preserve"> </w:t>
      </w:r>
      <w:r w:rsidRPr="009D457B">
        <w:rPr>
          <w:rFonts w:ascii="Arial" w:hAnsi="Arial" w:cs="Arial"/>
          <w:b/>
          <w:bCs/>
        </w:rPr>
        <w:t>it is necessary that the AMF in the VPLMN indicates to the HPLMN/UDM that the registration was not successful due to the given cause, as well as sending back the received S</w:t>
      </w:r>
      <w:r w:rsidR="009A1B7D" w:rsidRPr="009D457B">
        <w:rPr>
          <w:rFonts w:ascii="Arial" w:hAnsi="Arial" w:cs="Arial"/>
          <w:b/>
          <w:bCs/>
        </w:rPr>
        <w:t>o</w:t>
      </w:r>
      <w:r w:rsidRPr="009D457B">
        <w:rPr>
          <w:rFonts w:ascii="Arial" w:hAnsi="Arial" w:cs="Arial"/>
          <w:b/>
          <w:bCs/>
        </w:rPr>
        <w:t>R information</w:t>
      </w:r>
      <w:r w:rsidR="009A1B7D" w:rsidRPr="009D457B">
        <w:rPr>
          <w:rFonts w:ascii="Arial" w:hAnsi="Arial" w:cs="Arial"/>
          <w:b/>
          <w:bCs/>
        </w:rPr>
        <w:t xml:space="preserve"> for valid</w:t>
      </w:r>
      <w:r w:rsidR="00FE43D5">
        <w:rPr>
          <w:rFonts w:ascii="Arial" w:hAnsi="Arial" w:cs="Arial"/>
          <w:b/>
          <w:bCs/>
        </w:rPr>
        <w:t>ation</w:t>
      </w:r>
      <w:r>
        <w:rPr>
          <w:rFonts w:ascii="Arial" w:hAnsi="Arial" w:cs="Arial"/>
          <w:bCs/>
        </w:rPr>
        <w:t>.</w:t>
      </w:r>
    </w:p>
    <w:p w14:paraId="3F895F8B" w14:textId="77777777" w:rsidR="002A2096" w:rsidRDefault="002A2096" w:rsidP="003554FA">
      <w:pPr>
        <w:rPr>
          <w:rFonts w:ascii="Arial" w:hAnsi="Arial" w:cs="Arial"/>
          <w:bCs/>
        </w:rPr>
      </w:pPr>
    </w:p>
    <w:p w14:paraId="14232C18" w14:textId="77777777" w:rsidR="00276C57" w:rsidRDefault="00276C57" w:rsidP="003554FA">
      <w:pPr>
        <w:rPr>
          <w:rFonts w:ascii="Arial" w:hAnsi="Arial" w:cs="Arial"/>
          <w:bCs/>
        </w:rPr>
      </w:pPr>
    </w:p>
    <w:p w14:paraId="245F4AF8" w14:textId="77777777" w:rsidR="0073515B" w:rsidRDefault="0073515B" w:rsidP="00112A0B">
      <w:pPr>
        <w:pStyle w:val="2"/>
        <w:numPr>
          <w:ilvl w:val="1"/>
          <w:numId w:val="4"/>
        </w:numPr>
        <w:rPr>
          <w:lang w:eastAsia="ja-JP"/>
        </w:rPr>
      </w:pPr>
      <w:r>
        <w:rPr>
          <w:rFonts w:hint="eastAsia"/>
          <w:lang w:eastAsia="ja-JP"/>
        </w:rPr>
        <w:t xml:space="preserve">Necessity of reporting failure of SoR information delivery </w:t>
      </w:r>
      <w:r>
        <w:rPr>
          <w:lang w:eastAsia="ja-JP"/>
        </w:rPr>
        <w:t>–</w:t>
      </w:r>
      <w:r>
        <w:rPr>
          <w:rFonts w:hint="eastAsia"/>
          <w:lang w:eastAsia="ja-JP"/>
        </w:rPr>
        <w:t xml:space="preserve"> </w:t>
      </w:r>
      <w:r>
        <w:rPr>
          <w:lang w:eastAsia="ja-JP"/>
        </w:rPr>
        <w:t>After</w:t>
      </w:r>
      <w:r>
        <w:rPr>
          <w:rFonts w:hint="eastAsia"/>
          <w:lang w:eastAsia="ja-JP"/>
        </w:rPr>
        <w:t xml:space="preserve"> </w:t>
      </w:r>
      <w:r>
        <w:rPr>
          <w:lang w:eastAsia="ja-JP"/>
        </w:rPr>
        <w:t>registration</w:t>
      </w:r>
    </w:p>
    <w:p w14:paraId="76CBD30C" w14:textId="77777777" w:rsidR="0073515B" w:rsidRPr="0073515B" w:rsidRDefault="0073515B" w:rsidP="003554FA">
      <w:pPr>
        <w:rPr>
          <w:rFonts w:ascii="Arial" w:hAnsi="Arial" w:cs="Arial"/>
          <w:bCs/>
        </w:rPr>
      </w:pPr>
    </w:p>
    <w:p w14:paraId="046C7417" w14:textId="77777777" w:rsidR="00276C57" w:rsidRDefault="005F1FC3" w:rsidP="003554FA">
      <w:pPr>
        <w:rPr>
          <w:rFonts w:ascii="Arial" w:hAnsi="Arial" w:cs="Arial"/>
          <w:bCs/>
        </w:rPr>
      </w:pPr>
      <w:r>
        <w:rPr>
          <w:rFonts w:ascii="Arial" w:hAnsi="Arial" w:cs="Arial"/>
          <w:bCs/>
        </w:rPr>
        <w:t>Similar</w:t>
      </w:r>
      <w:r w:rsidR="00276C57">
        <w:rPr>
          <w:rFonts w:ascii="Arial" w:hAnsi="Arial" w:cs="Arial"/>
          <w:bCs/>
        </w:rPr>
        <w:t xml:space="preserve"> issue could </w:t>
      </w:r>
      <w:r>
        <w:rPr>
          <w:rFonts w:ascii="Arial" w:hAnsi="Arial" w:cs="Arial"/>
          <w:bCs/>
        </w:rPr>
        <w:t>happen for SoR information to be delivered after registration, where the UE loses coverage.</w:t>
      </w:r>
    </w:p>
    <w:p w14:paraId="4FAE4C3A" w14:textId="77777777" w:rsidR="005F1FC3" w:rsidRDefault="005F1FC3" w:rsidP="003554FA">
      <w:pPr>
        <w:rPr>
          <w:rFonts w:ascii="Arial" w:hAnsi="Arial" w:cs="Arial"/>
          <w:bCs/>
        </w:rPr>
      </w:pPr>
      <w:r>
        <w:rPr>
          <w:rFonts w:ascii="Arial" w:hAnsi="Arial" w:cs="Arial"/>
          <w:bCs/>
        </w:rPr>
        <w:t>The successful callflow SoR information delivered after registration is described below.</w:t>
      </w:r>
    </w:p>
    <w:p w14:paraId="6CAF3DE9" w14:textId="77777777" w:rsidR="002A2096" w:rsidRDefault="002A2096" w:rsidP="003554FA">
      <w:pPr>
        <w:rPr>
          <w:rFonts w:ascii="Arial" w:hAnsi="Arial" w:cs="Arial"/>
          <w:bCs/>
        </w:rPr>
      </w:pPr>
    </w:p>
    <w:p w14:paraId="19E7029E" w14:textId="77777777" w:rsidR="005F1FC3" w:rsidRPr="005F1FC3" w:rsidRDefault="005F1FC3" w:rsidP="005F1FC3">
      <w:pPr>
        <w:jc w:val="center"/>
        <w:rPr>
          <w:rFonts w:ascii="Arial" w:hAnsi="Arial" w:cs="Arial"/>
          <w:b/>
          <w:bCs/>
          <w:lang w:eastAsia="ja-JP"/>
        </w:rPr>
      </w:pPr>
      <w:r w:rsidRPr="002F4191">
        <w:rPr>
          <w:rFonts w:ascii="Arial" w:hAnsi="Arial" w:cs="Arial"/>
          <w:b/>
          <w:bCs/>
          <w:lang w:eastAsia="ja-JP"/>
        </w:rPr>
        <w:lastRenderedPageBreak/>
        <w:t>Extract f</w:t>
      </w:r>
      <w:r w:rsidRPr="002F4191">
        <w:rPr>
          <w:rFonts w:ascii="Arial" w:hAnsi="Arial" w:cs="Arial" w:hint="eastAsia"/>
          <w:b/>
          <w:bCs/>
          <w:lang w:eastAsia="ja-JP"/>
        </w:rPr>
        <w:t>rom</w:t>
      </w:r>
      <w:r w:rsidRPr="002F4191">
        <w:rPr>
          <w:rFonts w:ascii="Arial" w:hAnsi="Arial" w:cs="Arial"/>
          <w:b/>
          <w:bCs/>
          <w:lang w:eastAsia="ja-JP"/>
        </w:rPr>
        <w:t xml:space="preserve"> TS 23.122 Annex C.</w:t>
      </w:r>
      <w:r>
        <w:rPr>
          <w:rFonts w:ascii="Arial" w:hAnsi="Arial" w:cs="Arial"/>
          <w:b/>
          <w:bCs/>
          <w:lang w:eastAsia="ja-JP"/>
        </w:rPr>
        <w:t>3</w:t>
      </w:r>
      <w:r w:rsidRPr="002F4191">
        <w:rPr>
          <w:rFonts w:ascii="Arial" w:hAnsi="Arial" w:cs="Arial"/>
          <w:b/>
          <w:bCs/>
          <w:lang w:eastAsia="ja-JP"/>
        </w:rPr>
        <w:t xml:space="preserve"> “</w:t>
      </w:r>
      <w:r w:rsidRPr="005F1FC3">
        <w:rPr>
          <w:rFonts w:ascii="Arial" w:hAnsi="Arial" w:cs="Arial"/>
          <w:b/>
          <w:bCs/>
          <w:lang w:eastAsia="ja-JP"/>
        </w:rPr>
        <w:t>Stage-2 flow for steering of UE in VPLMN after registration</w:t>
      </w:r>
      <w:r w:rsidRPr="002F4191">
        <w:rPr>
          <w:rFonts w:ascii="Arial" w:hAnsi="Arial" w:cs="Arial"/>
          <w:b/>
          <w:bCs/>
          <w:lang w:eastAsia="ja-JP"/>
        </w:rPr>
        <w:t>”</w:t>
      </w:r>
      <w:r>
        <w:rPr>
          <w:rFonts w:ascii="Arial" w:hAnsi="Arial" w:cs="Arial"/>
          <w:b/>
          <w:bCs/>
          <w:lang w:eastAsia="ja-JP"/>
        </w:rPr>
        <w:br/>
        <w:t>indicating the successful SoR information delivery with acknowledgement sent back to UDM</w:t>
      </w:r>
    </w:p>
    <w:tbl>
      <w:tblPr>
        <w:tblStyle w:val="a9"/>
        <w:tblW w:w="0" w:type="auto"/>
        <w:tblLook w:val="04A0" w:firstRow="1" w:lastRow="0" w:firstColumn="1" w:lastColumn="0" w:noHBand="0" w:noVBand="1"/>
      </w:tblPr>
      <w:tblGrid>
        <w:gridCol w:w="9855"/>
      </w:tblGrid>
      <w:tr w:rsidR="00276C57" w14:paraId="5EC38217" w14:textId="77777777" w:rsidTr="00276C57">
        <w:tc>
          <w:tcPr>
            <w:tcW w:w="10063" w:type="dxa"/>
          </w:tcPr>
          <w:p w14:paraId="4E5C1B53" w14:textId="77777777" w:rsidR="00276C57" w:rsidRDefault="00F116EE" w:rsidP="00276C57">
            <w:pPr>
              <w:pStyle w:val="TF"/>
            </w:pPr>
            <w:r>
              <w:rPr>
                <w:noProof/>
                <w:lang w:val="en-US" w:eastAsia="ja-JP"/>
              </w:rPr>
              <w:drawing>
                <wp:inline distT="0" distB="0" distL="0" distR="0" wp14:anchorId="6FDAEF21" wp14:editId="3D14B83A">
                  <wp:extent cx="6111240" cy="2766060"/>
                  <wp:effectExtent l="0" t="0" r="0" b="0"/>
                  <wp:docPr id="2" name="Picture 2"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f2_af-reg_ne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1240" cy="2766060"/>
                          </a:xfrm>
                          <a:prstGeom prst="rect">
                            <a:avLst/>
                          </a:prstGeom>
                          <a:noFill/>
                          <a:ln>
                            <a:noFill/>
                          </a:ln>
                        </pic:spPr>
                      </pic:pic>
                    </a:graphicData>
                  </a:graphic>
                </wp:inline>
              </w:drawing>
            </w:r>
          </w:p>
          <w:p w14:paraId="3E911445" w14:textId="77777777" w:rsidR="00276C57" w:rsidRPr="00276C57" w:rsidRDefault="00276C57" w:rsidP="005F1FC3">
            <w:pPr>
              <w:pStyle w:val="TF"/>
              <w:rPr>
                <w:rFonts w:cs="Arial"/>
                <w:bCs/>
              </w:rPr>
            </w:pPr>
            <w:r w:rsidRPr="00BD0557">
              <w:t>Figure </w:t>
            </w:r>
            <w:r>
              <w:t>C.</w:t>
            </w:r>
            <w:r w:rsidRPr="00892856">
              <w:rPr>
                <w:lang w:val="en-GB"/>
              </w:rPr>
              <w:t>3</w:t>
            </w:r>
            <w:r>
              <w:t>.1</w:t>
            </w:r>
            <w:r w:rsidRPr="00BD0557">
              <w:t>: Procedure for providing list of preferred PLMN/access technology combinations</w:t>
            </w:r>
            <w:r>
              <w:t xml:space="preserve"> after registration</w:t>
            </w:r>
          </w:p>
        </w:tc>
      </w:tr>
    </w:tbl>
    <w:p w14:paraId="0D62A332" w14:textId="77777777" w:rsidR="005B2ED2" w:rsidRDefault="005B2ED2" w:rsidP="003554FA">
      <w:pPr>
        <w:rPr>
          <w:rFonts w:ascii="Arial" w:hAnsi="Arial" w:cs="Arial"/>
          <w:bCs/>
        </w:rPr>
      </w:pPr>
    </w:p>
    <w:p w14:paraId="1C1B6BCA" w14:textId="77777777" w:rsidR="005F1FC3" w:rsidRDefault="005F1FC3" w:rsidP="003554FA">
      <w:pPr>
        <w:rPr>
          <w:rFonts w:ascii="Arial" w:hAnsi="Arial" w:cs="Arial"/>
          <w:bCs/>
          <w:lang w:eastAsia="ja-JP"/>
        </w:rPr>
      </w:pPr>
      <w:r>
        <w:rPr>
          <w:rFonts w:ascii="Arial" w:hAnsi="Arial" w:cs="Arial" w:hint="eastAsia"/>
          <w:bCs/>
          <w:lang w:eastAsia="ja-JP"/>
        </w:rPr>
        <w:t>If step 4 above is not received back from UE to AMF, step 5 above i.e. the acknowledgement from AMF back to UDM will not be sent.</w:t>
      </w:r>
      <w:r>
        <w:rPr>
          <w:rFonts w:ascii="Arial" w:hAnsi="Arial" w:cs="Arial"/>
          <w:bCs/>
          <w:lang w:eastAsia="ja-JP"/>
        </w:rPr>
        <w:t xml:space="preserve"> In this case, similar concern as described for SoR information delivered during registration exists. Therefore, failure indication of SoR from AMF to UDM is needed.</w:t>
      </w:r>
    </w:p>
    <w:p w14:paraId="6302E7D1" w14:textId="77777777" w:rsidR="005F1FC3" w:rsidRDefault="005F1FC3" w:rsidP="003554FA">
      <w:pPr>
        <w:rPr>
          <w:rFonts w:ascii="Arial" w:hAnsi="Arial" w:cs="Arial"/>
          <w:bCs/>
          <w:lang w:eastAsia="ja-JP"/>
        </w:rPr>
      </w:pPr>
    </w:p>
    <w:p w14:paraId="0184290D" w14:textId="77777777" w:rsidR="005F1FC3" w:rsidRDefault="005F1FC3" w:rsidP="003554FA">
      <w:pPr>
        <w:rPr>
          <w:rFonts w:ascii="Arial" w:hAnsi="Arial" w:cs="Arial"/>
          <w:bCs/>
          <w:lang w:eastAsia="ja-JP"/>
        </w:rPr>
      </w:pPr>
    </w:p>
    <w:p w14:paraId="46278F52" w14:textId="77777777" w:rsidR="00276C57" w:rsidRDefault="00726435" w:rsidP="00112A0B">
      <w:pPr>
        <w:pStyle w:val="1"/>
        <w:numPr>
          <w:ilvl w:val="0"/>
          <w:numId w:val="4"/>
        </w:numPr>
        <w:rPr>
          <w:lang w:eastAsia="ja-JP"/>
        </w:rPr>
      </w:pPr>
      <w:r>
        <w:rPr>
          <w:rFonts w:hint="eastAsia"/>
          <w:lang w:eastAsia="ja-JP"/>
        </w:rPr>
        <w:t>Issue</w:t>
      </w:r>
    </w:p>
    <w:p w14:paraId="76B20E16" w14:textId="77777777" w:rsidR="00726435" w:rsidRDefault="00726435" w:rsidP="003554FA">
      <w:pPr>
        <w:rPr>
          <w:rFonts w:ascii="Arial" w:hAnsi="Arial" w:cs="Arial"/>
          <w:bCs/>
          <w:lang w:eastAsia="ja-JP"/>
        </w:rPr>
      </w:pPr>
      <w:r>
        <w:rPr>
          <w:rFonts w:ascii="Arial" w:hAnsi="Arial" w:cs="Arial"/>
          <w:bCs/>
          <w:lang w:eastAsia="ja-JP"/>
        </w:rPr>
        <w:t xml:space="preserve">So far, the only possible service operation for AMF to indicate UDM about the success of SoR delivery </w:t>
      </w:r>
      <w:r w:rsidR="00651451">
        <w:rPr>
          <w:rFonts w:ascii="Arial" w:hAnsi="Arial" w:cs="Arial"/>
          <w:bCs/>
          <w:lang w:eastAsia="ja-JP"/>
        </w:rPr>
        <w:t xml:space="preserve">is </w:t>
      </w:r>
      <w:r w:rsidR="009C11D1">
        <w:rPr>
          <w:rFonts w:ascii="Arial" w:hAnsi="Arial" w:cs="Arial"/>
          <w:bCs/>
          <w:lang w:eastAsia="ja-JP"/>
        </w:rPr>
        <w:t>Nudm_SDM_Info, with the ‘SorAck’ resource.</w:t>
      </w:r>
    </w:p>
    <w:p w14:paraId="27D34A5E" w14:textId="77777777" w:rsidR="009C11D1" w:rsidRDefault="009C11D1" w:rsidP="003554FA">
      <w:pPr>
        <w:rPr>
          <w:rFonts w:ascii="Arial" w:hAnsi="Arial" w:cs="Arial"/>
          <w:bCs/>
          <w:lang w:eastAsia="ja-JP"/>
        </w:rPr>
      </w:pPr>
      <w:r>
        <w:rPr>
          <w:rFonts w:ascii="Arial" w:hAnsi="Arial" w:cs="Arial"/>
          <w:bCs/>
          <w:lang w:eastAsia="ja-JP"/>
        </w:rPr>
        <w:t>This resource assumes to deliver the SoR acknowledgement information generated by UE, i.e. ‘</w:t>
      </w:r>
      <w:r w:rsidRPr="009C11D1">
        <w:rPr>
          <w:rFonts w:ascii="Arial" w:hAnsi="Arial" w:cs="Arial"/>
          <w:bCs/>
          <w:lang w:eastAsia="ja-JP"/>
        </w:rPr>
        <w:t>SOR-MAC-Iue</w:t>
      </w:r>
      <w:r>
        <w:rPr>
          <w:rFonts w:ascii="Arial" w:hAnsi="Arial" w:cs="Arial"/>
          <w:bCs/>
          <w:lang w:eastAsia="ja-JP"/>
        </w:rPr>
        <w:t>’, and will not be able to send any failure cause</w:t>
      </w:r>
      <w:r w:rsidR="00C231AA">
        <w:rPr>
          <w:rFonts w:ascii="Arial" w:hAnsi="Arial" w:cs="Arial"/>
          <w:bCs/>
          <w:lang w:eastAsia="ja-JP"/>
        </w:rPr>
        <w:t xml:space="preserve"> nor any additional information that relates to failed case.</w:t>
      </w:r>
    </w:p>
    <w:p w14:paraId="6FD8D309" w14:textId="77777777" w:rsidR="00112A0B" w:rsidRDefault="00112A0B" w:rsidP="003554FA">
      <w:pPr>
        <w:rPr>
          <w:rFonts w:ascii="Arial" w:hAnsi="Arial" w:cs="Arial"/>
          <w:bCs/>
          <w:lang w:eastAsia="ja-JP"/>
        </w:rPr>
      </w:pPr>
    </w:p>
    <w:p w14:paraId="6C24E6C5" w14:textId="10119621" w:rsidR="00112A0B" w:rsidRDefault="00112A0B" w:rsidP="003554FA">
      <w:pPr>
        <w:rPr>
          <w:rFonts w:ascii="Arial" w:hAnsi="Arial" w:cs="Arial"/>
          <w:bCs/>
          <w:lang w:eastAsia="ja-JP"/>
        </w:rPr>
      </w:pPr>
      <w:r>
        <w:rPr>
          <w:rFonts w:ascii="Arial" w:hAnsi="Arial" w:cs="Arial"/>
          <w:bCs/>
          <w:lang w:eastAsia="ja-JP"/>
        </w:rPr>
        <w:t xml:space="preserve">Therefore, this would require additional resource to be specified for this specific purpose. Further, </w:t>
      </w:r>
      <w:r w:rsidR="000F5AC7">
        <w:rPr>
          <w:rFonts w:ascii="Arial" w:hAnsi="Arial" w:cs="Arial"/>
          <w:bCs/>
          <w:lang w:eastAsia="ja-JP"/>
        </w:rPr>
        <w:t xml:space="preserve">an update of the Nudm_SDM_Info </w:t>
      </w:r>
      <w:r>
        <w:rPr>
          <w:rFonts w:ascii="Arial" w:hAnsi="Arial" w:cs="Arial"/>
          <w:bCs/>
          <w:lang w:eastAsia="ja-JP"/>
        </w:rPr>
        <w:t>service operation is likely required to specify the new resource, which could require update to TS 23.502.</w:t>
      </w:r>
    </w:p>
    <w:p w14:paraId="5EB5FFFC" w14:textId="77777777" w:rsidR="009C11D1" w:rsidRDefault="009C11D1" w:rsidP="003554FA">
      <w:pPr>
        <w:rPr>
          <w:rFonts w:ascii="Arial" w:hAnsi="Arial" w:cs="Arial"/>
          <w:bCs/>
          <w:lang w:eastAsia="ja-JP"/>
        </w:rPr>
      </w:pPr>
    </w:p>
    <w:p w14:paraId="072A6076" w14:textId="77777777" w:rsidR="00112A0B" w:rsidRDefault="00112A0B" w:rsidP="003554FA">
      <w:pPr>
        <w:rPr>
          <w:rFonts w:ascii="Arial" w:hAnsi="Arial" w:cs="Arial"/>
          <w:bCs/>
          <w:lang w:eastAsia="ja-JP"/>
        </w:rPr>
      </w:pPr>
    </w:p>
    <w:p w14:paraId="7FC33048" w14:textId="77777777" w:rsidR="00112A0B" w:rsidRDefault="00112A0B" w:rsidP="00112A0B">
      <w:pPr>
        <w:pStyle w:val="1"/>
        <w:numPr>
          <w:ilvl w:val="0"/>
          <w:numId w:val="4"/>
        </w:numPr>
        <w:rPr>
          <w:lang w:eastAsia="ja-JP"/>
        </w:rPr>
      </w:pPr>
      <w:r>
        <w:rPr>
          <w:lang w:eastAsia="ja-JP"/>
        </w:rPr>
        <w:t>Summary</w:t>
      </w:r>
      <w:r w:rsidR="006C3CD4">
        <w:rPr>
          <w:lang w:eastAsia="ja-JP"/>
        </w:rPr>
        <w:t>/Proposal</w:t>
      </w:r>
    </w:p>
    <w:p w14:paraId="7E203ACE" w14:textId="77777777" w:rsidR="00112A0B" w:rsidRDefault="00112A0B" w:rsidP="003554FA">
      <w:pPr>
        <w:rPr>
          <w:rFonts w:ascii="Arial" w:hAnsi="Arial" w:cs="Arial"/>
          <w:bCs/>
          <w:lang w:eastAsia="ja-JP"/>
        </w:rPr>
      </w:pPr>
      <w:r>
        <w:rPr>
          <w:rFonts w:ascii="Arial" w:hAnsi="Arial" w:cs="Arial" w:hint="eastAsia"/>
          <w:bCs/>
          <w:lang w:eastAsia="ja-JP"/>
        </w:rPr>
        <w:t>The necessity of indicating the failure of SoR information</w:t>
      </w:r>
      <w:r>
        <w:rPr>
          <w:rFonts w:ascii="Arial" w:hAnsi="Arial" w:cs="Arial"/>
          <w:bCs/>
          <w:lang w:eastAsia="ja-JP"/>
        </w:rPr>
        <w:t xml:space="preserve"> from AMF to UDM</w:t>
      </w:r>
      <w:r>
        <w:rPr>
          <w:rFonts w:ascii="Arial" w:hAnsi="Arial" w:cs="Arial" w:hint="eastAsia"/>
          <w:bCs/>
          <w:lang w:eastAsia="ja-JP"/>
        </w:rPr>
        <w:t xml:space="preserve"> has been clarified</w:t>
      </w:r>
      <w:r>
        <w:rPr>
          <w:rFonts w:ascii="Arial" w:hAnsi="Arial" w:cs="Arial"/>
          <w:bCs/>
          <w:lang w:eastAsia="ja-JP"/>
        </w:rPr>
        <w:t>.</w:t>
      </w:r>
    </w:p>
    <w:p w14:paraId="357CEC65" w14:textId="77777777" w:rsidR="00546424" w:rsidRDefault="00546424" w:rsidP="003554FA">
      <w:pPr>
        <w:rPr>
          <w:rFonts w:ascii="Arial" w:hAnsi="Arial" w:cs="Arial"/>
          <w:bCs/>
          <w:lang w:eastAsia="ja-JP"/>
        </w:rPr>
      </w:pPr>
    </w:p>
    <w:p w14:paraId="1485A667" w14:textId="365BF120" w:rsidR="00112A0B" w:rsidRDefault="00112A0B" w:rsidP="003554FA">
      <w:pPr>
        <w:rPr>
          <w:rFonts w:ascii="Arial" w:hAnsi="Arial" w:cs="Arial"/>
          <w:bCs/>
          <w:lang w:eastAsia="ja-JP"/>
        </w:rPr>
      </w:pPr>
      <w:r>
        <w:rPr>
          <w:rFonts w:ascii="Arial" w:hAnsi="Arial" w:cs="Arial"/>
          <w:bCs/>
          <w:lang w:eastAsia="ja-JP"/>
        </w:rPr>
        <w:t>It is also clear that</w:t>
      </w:r>
      <w:r>
        <w:rPr>
          <w:rFonts w:ascii="Arial" w:hAnsi="Arial" w:cs="Arial" w:hint="eastAsia"/>
          <w:bCs/>
          <w:lang w:eastAsia="ja-JP"/>
        </w:rPr>
        <w:t xml:space="preserve"> currently no</w:t>
      </w:r>
      <w:r w:rsidR="00DD355B">
        <w:rPr>
          <w:rFonts w:ascii="Arial" w:hAnsi="Arial" w:cs="Arial"/>
          <w:bCs/>
          <w:lang w:eastAsia="ja-JP"/>
        </w:rPr>
        <w:t xml:space="preserve"> resource URI in the </w:t>
      </w:r>
      <w:r w:rsidR="00DD355B" w:rsidRPr="00DD355B">
        <w:rPr>
          <w:rFonts w:ascii="Arial" w:hAnsi="Arial" w:cs="Arial"/>
          <w:bCs/>
          <w:lang w:eastAsia="ja-JP"/>
        </w:rPr>
        <w:t>nudm-sdm</w:t>
      </w:r>
      <w:r>
        <w:rPr>
          <w:rFonts w:ascii="Arial" w:hAnsi="Arial" w:cs="Arial" w:hint="eastAsia"/>
          <w:bCs/>
          <w:lang w:eastAsia="ja-JP"/>
        </w:rPr>
        <w:t xml:space="preserve"> API is available to do so, and to specify this</w:t>
      </w:r>
      <w:r>
        <w:rPr>
          <w:rFonts w:ascii="Arial" w:hAnsi="Arial" w:cs="Arial"/>
          <w:bCs/>
          <w:lang w:eastAsia="ja-JP"/>
        </w:rPr>
        <w:t xml:space="preserve"> it is not clear if stage2 update is needed.</w:t>
      </w:r>
    </w:p>
    <w:p w14:paraId="664D6A5F" w14:textId="77777777" w:rsidR="00546424" w:rsidRDefault="00546424" w:rsidP="003554FA">
      <w:pPr>
        <w:rPr>
          <w:rFonts w:ascii="Arial" w:hAnsi="Arial" w:cs="Arial"/>
          <w:bCs/>
          <w:lang w:eastAsia="ja-JP"/>
        </w:rPr>
      </w:pPr>
    </w:p>
    <w:p w14:paraId="42F6BE1D" w14:textId="77777777" w:rsidR="00112A0B" w:rsidRDefault="00112A0B" w:rsidP="003554FA">
      <w:pPr>
        <w:rPr>
          <w:rFonts w:ascii="Arial" w:hAnsi="Arial" w:cs="Arial"/>
          <w:bCs/>
          <w:lang w:eastAsia="ja-JP"/>
        </w:rPr>
      </w:pPr>
      <w:r>
        <w:rPr>
          <w:rFonts w:ascii="Arial" w:hAnsi="Arial" w:cs="Arial"/>
          <w:bCs/>
          <w:lang w:eastAsia="ja-JP"/>
        </w:rPr>
        <w:t>Therefore, we address CT4 to:</w:t>
      </w:r>
    </w:p>
    <w:p w14:paraId="0EE84531" w14:textId="61F12175" w:rsidR="001633D6" w:rsidRDefault="001633D6" w:rsidP="00112A0B">
      <w:pPr>
        <w:numPr>
          <w:ilvl w:val="0"/>
          <w:numId w:val="7"/>
        </w:numPr>
        <w:rPr>
          <w:rFonts w:ascii="Arial" w:hAnsi="Arial" w:cs="Arial"/>
          <w:bCs/>
          <w:lang w:eastAsia="ja-JP"/>
        </w:rPr>
      </w:pPr>
      <w:r>
        <w:rPr>
          <w:rFonts w:ascii="Arial" w:hAnsi="Arial" w:cs="Arial" w:hint="eastAsia"/>
          <w:bCs/>
          <w:lang w:eastAsia="ja-JP"/>
        </w:rPr>
        <w:t xml:space="preserve">Whether a new resource is required to </w:t>
      </w:r>
      <w:r w:rsidR="00FE43D5">
        <w:rPr>
          <w:rFonts w:ascii="Arial" w:hAnsi="Arial" w:cs="Arial"/>
          <w:bCs/>
          <w:lang w:eastAsia="ja-JP"/>
        </w:rPr>
        <w:t>solve</w:t>
      </w:r>
      <w:r w:rsidR="00FE43D5">
        <w:rPr>
          <w:rFonts w:ascii="Arial" w:hAnsi="Arial" w:cs="Arial" w:hint="eastAsia"/>
          <w:bCs/>
          <w:lang w:eastAsia="ja-JP"/>
        </w:rPr>
        <w:t xml:space="preserve"> </w:t>
      </w:r>
      <w:r>
        <w:rPr>
          <w:rFonts w:ascii="Arial" w:hAnsi="Arial" w:cs="Arial" w:hint="eastAsia"/>
          <w:bCs/>
          <w:lang w:eastAsia="ja-JP"/>
        </w:rPr>
        <w:t>the issue;</w:t>
      </w:r>
    </w:p>
    <w:p w14:paraId="7FB3166E" w14:textId="77777777" w:rsidR="00112A0B" w:rsidRDefault="001633D6" w:rsidP="00112A0B">
      <w:pPr>
        <w:numPr>
          <w:ilvl w:val="0"/>
          <w:numId w:val="7"/>
        </w:numPr>
        <w:rPr>
          <w:rFonts w:ascii="Arial" w:hAnsi="Arial" w:cs="Arial"/>
          <w:bCs/>
          <w:lang w:eastAsia="ja-JP"/>
        </w:rPr>
      </w:pPr>
      <w:r>
        <w:rPr>
          <w:rFonts w:ascii="Arial" w:hAnsi="Arial" w:cs="Arial"/>
          <w:bCs/>
          <w:lang w:eastAsia="ja-JP"/>
        </w:rPr>
        <w:t>Whether update to stage2 is needed if a new resource is needed; and</w:t>
      </w:r>
    </w:p>
    <w:p w14:paraId="14706B8E" w14:textId="77777777" w:rsidR="001633D6" w:rsidRDefault="001633D6" w:rsidP="00112A0B">
      <w:pPr>
        <w:numPr>
          <w:ilvl w:val="0"/>
          <w:numId w:val="7"/>
        </w:numPr>
        <w:rPr>
          <w:rFonts w:ascii="Arial" w:hAnsi="Arial" w:cs="Arial"/>
          <w:bCs/>
          <w:lang w:eastAsia="ja-JP"/>
        </w:rPr>
      </w:pPr>
      <w:r>
        <w:rPr>
          <w:rFonts w:ascii="Arial" w:hAnsi="Arial" w:cs="Arial"/>
          <w:bCs/>
          <w:lang w:eastAsia="ja-JP"/>
        </w:rPr>
        <w:t>Consider the need for sending LS to SA2 if needed</w:t>
      </w:r>
    </w:p>
    <w:p w14:paraId="37DAE826" w14:textId="77777777" w:rsidR="001633D6" w:rsidRDefault="001633D6" w:rsidP="001633D6">
      <w:pPr>
        <w:rPr>
          <w:rFonts w:ascii="Arial" w:hAnsi="Arial" w:cs="Arial"/>
          <w:bCs/>
          <w:lang w:eastAsia="ja-JP"/>
        </w:rPr>
      </w:pPr>
    </w:p>
    <w:p w14:paraId="6408D12B" w14:textId="77777777" w:rsidR="003554FA" w:rsidRDefault="003554FA">
      <w:pPr>
        <w:rPr>
          <w:rFonts w:ascii="Arial" w:hAnsi="Arial" w:cs="Arial"/>
          <w:b/>
          <w:bCs/>
          <w:lang w:eastAsia="ja-JP"/>
        </w:rPr>
      </w:pPr>
    </w:p>
    <w:sectPr w:rsidR="003554FA">
      <w:pgSz w:w="11907" w:h="16840" w:code="9"/>
      <w:pgMar w:top="1134" w:right="1021" w:bottom="1287"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B7BE01" w16cid:durableId="201145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133213" w14:textId="77777777" w:rsidR="00A510B7" w:rsidRDefault="00A510B7">
      <w:r>
        <w:separator/>
      </w:r>
    </w:p>
  </w:endnote>
  <w:endnote w:type="continuationSeparator" w:id="0">
    <w:p w14:paraId="1FBE73CC" w14:textId="77777777" w:rsidR="00A510B7" w:rsidRDefault="00A51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A6142" w14:textId="77777777" w:rsidR="00A510B7" w:rsidRDefault="00A510B7">
      <w:r>
        <w:separator/>
      </w:r>
    </w:p>
  </w:footnote>
  <w:footnote w:type="continuationSeparator" w:id="0">
    <w:p w14:paraId="778888E8" w14:textId="77777777" w:rsidR="00A510B7" w:rsidRDefault="00A510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E46C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C007E3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C9541F8"/>
    <w:multiLevelType w:val="hybridMultilevel"/>
    <w:tmpl w:val="019E79C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DDC3461"/>
    <w:multiLevelType w:val="hybridMultilevel"/>
    <w:tmpl w:val="59186EC2"/>
    <w:lvl w:ilvl="0" w:tplc="CD329F2E">
      <w:start w:val="3"/>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2191A"/>
    <w:rsid w:val="00046686"/>
    <w:rsid w:val="00046FDD"/>
    <w:rsid w:val="00057E1E"/>
    <w:rsid w:val="00072A7C"/>
    <w:rsid w:val="000775E7"/>
    <w:rsid w:val="0007775C"/>
    <w:rsid w:val="000967F4"/>
    <w:rsid w:val="000B6E86"/>
    <w:rsid w:val="000E0429"/>
    <w:rsid w:val="000F5AC7"/>
    <w:rsid w:val="000F6E51"/>
    <w:rsid w:val="00102A24"/>
    <w:rsid w:val="00112A0B"/>
    <w:rsid w:val="00135831"/>
    <w:rsid w:val="00136D2B"/>
    <w:rsid w:val="001376A6"/>
    <w:rsid w:val="00141143"/>
    <w:rsid w:val="0014413C"/>
    <w:rsid w:val="001633D6"/>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41D3"/>
    <w:rsid w:val="00256429"/>
    <w:rsid w:val="0026253E"/>
    <w:rsid w:val="00276C57"/>
    <w:rsid w:val="002919B7"/>
    <w:rsid w:val="00295D61"/>
    <w:rsid w:val="002A2096"/>
    <w:rsid w:val="002B2FE7"/>
    <w:rsid w:val="002B34EA"/>
    <w:rsid w:val="002B5361"/>
    <w:rsid w:val="002C47B8"/>
    <w:rsid w:val="002E397B"/>
    <w:rsid w:val="002E3AE2"/>
    <w:rsid w:val="002F4191"/>
    <w:rsid w:val="002F7CCB"/>
    <w:rsid w:val="00313F3E"/>
    <w:rsid w:val="00320536"/>
    <w:rsid w:val="00325E33"/>
    <w:rsid w:val="003275E6"/>
    <w:rsid w:val="00354553"/>
    <w:rsid w:val="003554FA"/>
    <w:rsid w:val="00392C87"/>
    <w:rsid w:val="003A67E1"/>
    <w:rsid w:val="003D4593"/>
    <w:rsid w:val="003E2C8B"/>
    <w:rsid w:val="003E710B"/>
    <w:rsid w:val="0040145D"/>
    <w:rsid w:val="00411339"/>
    <w:rsid w:val="004131BD"/>
    <w:rsid w:val="004161AD"/>
    <w:rsid w:val="00416CEA"/>
    <w:rsid w:val="00421AFD"/>
    <w:rsid w:val="00432048"/>
    <w:rsid w:val="004455D6"/>
    <w:rsid w:val="004518DB"/>
    <w:rsid w:val="00477EBC"/>
    <w:rsid w:val="004A0A73"/>
    <w:rsid w:val="004A661C"/>
    <w:rsid w:val="004D2FA0"/>
    <w:rsid w:val="004E1010"/>
    <w:rsid w:val="0050202A"/>
    <w:rsid w:val="0052032E"/>
    <w:rsid w:val="00544D8F"/>
    <w:rsid w:val="00546424"/>
    <w:rsid w:val="00553BDE"/>
    <w:rsid w:val="00562495"/>
    <w:rsid w:val="00577727"/>
    <w:rsid w:val="005777AF"/>
    <w:rsid w:val="00586562"/>
    <w:rsid w:val="00593DC4"/>
    <w:rsid w:val="0059529B"/>
    <w:rsid w:val="005A6ABC"/>
    <w:rsid w:val="005B2ED2"/>
    <w:rsid w:val="005C0CC6"/>
    <w:rsid w:val="005C0FFC"/>
    <w:rsid w:val="005C3F71"/>
    <w:rsid w:val="005D1F7E"/>
    <w:rsid w:val="005E7235"/>
    <w:rsid w:val="005F1FC3"/>
    <w:rsid w:val="005F4B34"/>
    <w:rsid w:val="00616E18"/>
    <w:rsid w:val="006178BF"/>
    <w:rsid w:val="00623AED"/>
    <w:rsid w:val="00632157"/>
    <w:rsid w:val="00633971"/>
    <w:rsid w:val="0064121E"/>
    <w:rsid w:val="00651451"/>
    <w:rsid w:val="00660354"/>
    <w:rsid w:val="00665B9B"/>
    <w:rsid w:val="00696A2D"/>
    <w:rsid w:val="006C3CD4"/>
    <w:rsid w:val="006D3D54"/>
    <w:rsid w:val="006E1A49"/>
    <w:rsid w:val="006F1B00"/>
    <w:rsid w:val="006F4B7A"/>
    <w:rsid w:val="00700A59"/>
    <w:rsid w:val="00710142"/>
    <w:rsid w:val="00712E81"/>
    <w:rsid w:val="00723919"/>
    <w:rsid w:val="00726435"/>
    <w:rsid w:val="0073515B"/>
    <w:rsid w:val="00762474"/>
    <w:rsid w:val="007814A8"/>
    <w:rsid w:val="00781A62"/>
    <w:rsid w:val="00783C0E"/>
    <w:rsid w:val="00787383"/>
    <w:rsid w:val="00791B51"/>
    <w:rsid w:val="007B5F65"/>
    <w:rsid w:val="007D1F35"/>
    <w:rsid w:val="007D3C7C"/>
    <w:rsid w:val="007F6574"/>
    <w:rsid w:val="00850CD4"/>
    <w:rsid w:val="00854A49"/>
    <w:rsid w:val="008A06BE"/>
    <w:rsid w:val="008A56FD"/>
    <w:rsid w:val="008D3DA6"/>
    <w:rsid w:val="008F7444"/>
    <w:rsid w:val="0091399A"/>
    <w:rsid w:val="00926791"/>
    <w:rsid w:val="00940736"/>
    <w:rsid w:val="00950CF7"/>
    <w:rsid w:val="00960A44"/>
    <w:rsid w:val="009768C3"/>
    <w:rsid w:val="00977C43"/>
    <w:rsid w:val="00996533"/>
    <w:rsid w:val="009A1B7D"/>
    <w:rsid w:val="009A3833"/>
    <w:rsid w:val="009A5F57"/>
    <w:rsid w:val="009A62E2"/>
    <w:rsid w:val="009B110B"/>
    <w:rsid w:val="009B13F0"/>
    <w:rsid w:val="009B196A"/>
    <w:rsid w:val="009C11D1"/>
    <w:rsid w:val="009D457B"/>
    <w:rsid w:val="009D6D9F"/>
    <w:rsid w:val="009E1910"/>
    <w:rsid w:val="009E5DBA"/>
    <w:rsid w:val="009F6047"/>
    <w:rsid w:val="00A03D2A"/>
    <w:rsid w:val="00A10ADB"/>
    <w:rsid w:val="00A151A1"/>
    <w:rsid w:val="00A17F01"/>
    <w:rsid w:val="00A24557"/>
    <w:rsid w:val="00A27A64"/>
    <w:rsid w:val="00A37F80"/>
    <w:rsid w:val="00A45685"/>
    <w:rsid w:val="00A510B7"/>
    <w:rsid w:val="00A61169"/>
    <w:rsid w:val="00A63024"/>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C2E5F"/>
    <w:rsid w:val="00BC5AF6"/>
    <w:rsid w:val="00BD3E51"/>
    <w:rsid w:val="00BF0A84"/>
    <w:rsid w:val="00C03706"/>
    <w:rsid w:val="00C03F46"/>
    <w:rsid w:val="00C159BC"/>
    <w:rsid w:val="00C15A54"/>
    <w:rsid w:val="00C2214E"/>
    <w:rsid w:val="00C231AA"/>
    <w:rsid w:val="00C2519B"/>
    <w:rsid w:val="00C3782E"/>
    <w:rsid w:val="00C404D1"/>
    <w:rsid w:val="00C42176"/>
    <w:rsid w:val="00C52914"/>
    <w:rsid w:val="00C5567D"/>
    <w:rsid w:val="00C63F06"/>
    <w:rsid w:val="00C7131F"/>
    <w:rsid w:val="00CA5DB0"/>
    <w:rsid w:val="00D002E9"/>
    <w:rsid w:val="00D145EC"/>
    <w:rsid w:val="00D43C0B"/>
    <w:rsid w:val="00D44A74"/>
    <w:rsid w:val="00D57CD2"/>
    <w:rsid w:val="00D57E66"/>
    <w:rsid w:val="00D73350"/>
    <w:rsid w:val="00D8756E"/>
    <w:rsid w:val="00D938DD"/>
    <w:rsid w:val="00D974EA"/>
    <w:rsid w:val="00DB3373"/>
    <w:rsid w:val="00DC0F52"/>
    <w:rsid w:val="00DC4726"/>
    <w:rsid w:val="00DD355B"/>
    <w:rsid w:val="00DD40D2"/>
    <w:rsid w:val="00DE5BBF"/>
    <w:rsid w:val="00E041CD"/>
    <w:rsid w:val="00E1463F"/>
    <w:rsid w:val="00E363A9"/>
    <w:rsid w:val="00E53AE3"/>
    <w:rsid w:val="00E64FB2"/>
    <w:rsid w:val="00E81E2C"/>
    <w:rsid w:val="00EC10EC"/>
    <w:rsid w:val="00EE0176"/>
    <w:rsid w:val="00EF0942"/>
    <w:rsid w:val="00EF291F"/>
    <w:rsid w:val="00F0218C"/>
    <w:rsid w:val="00F0393B"/>
    <w:rsid w:val="00F116EE"/>
    <w:rsid w:val="00F313DD"/>
    <w:rsid w:val="00F378BE"/>
    <w:rsid w:val="00F52B70"/>
    <w:rsid w:val="00F763A4"/>
    <w:rsid w:val="00F941B8"/>
    <w:rsid w:val="00FA79A7"/>
    <w:rsid w:val="00FC643D"/>
    <w:rsid w:val="00FD1DAF"/>
    <w:rsid w:val="00FE3DCC"/>
    <w:rsid w:val="00FE43D5"/>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BE009C"/>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customStyle="1" w:styleId="TF">
    <w:name w:val="TF"/>
    <w:basedOn w:val="a"/>
    <w:link w:val="TF0"/>
    <w:rsid w:val="003554FA"/>
    <w:pPr>
      <w:keepLines/>
      <w:overflowPunct w:val="0"/>
      <w:autoSpaceDE w:val="0"/>
      <w:autoSpaceDN w:val="0"/>
      <w:adjustRightInd w:val="0"/>
      <w:spacing w:after="240"/>
      <w:jc w:val="center"/>
      <w:textAlignment w:val="baseline"/>
    </w:pPr>
    <w:rPr>
      <w:rFonts w:ascii="Arial" w:hAnsi="Arial"/>
      <w:b/>
      <w:lang w:val="x-none"/>
    </w:rPr>
  </w:style>
  <w:style w:type="character" w:customStyle="1" w:styleId="TF0">
    <w:name w:val="TF (文字)"/>
    <w:link w:val="TF"/>
    <w:locked/>
    <w:rsid w:val="003554FA"/>
    <w:rPr>
      <w:rFonts w:ascii="Arial" w:hAnsi="Arial"/>
      <w:b/>
      <w:lang w:val="x-none" w:eastAsia="en-US"/>
    </w:rPr>
  </w:style>
  <w:style w:type="table" w:styleId="a9">
    <w:name w:val="Table Grid"/>
    <w:basedOn w:val="a1"/>
    <w:rsid w:val="003554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0F5AC7"/>
    <w:rPr>
      <w:sz w:val="16"/>
      <w:szCs w:val="16"/>
    </w:rPr>
  </w:style>
  <w:style w:type="paragraph" w:styleId="ab">
    <w:name w:val="annotation subject"/>
    <w:basedOn w:val="a5"/>
    <w:next w:val="a5"/>
    <w:link w:val="ac"/>
    <w:rsid w:val="000F5AC7"/>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0F5AC7"/>
    <w:rPr>
      <w:rFonts w:ascii="Arial" w:hAnsi="Arial"/>
      <w:lang w:eastAsia="en-US"/>
    </w:rPr>
  </w:style>
  <w:style w:type="character" w:customStyle="1" w:styleId="ac">
    <w:name w:val="コメント内容 (文字)"/>
    <w:basedOn w:val="a6"/>
    <w:link w:val="ab"/>
    <w:rsid w:val="000F5AC7"/>
    <w:rPr>
      <w:rFonts w:ascii="Arial" w:hAnsi="Arial"/>
      <w:b/>
      <w:bCs/>
      <w:lang w:eastAsia="en-US"/>
    </w:rPr>
  </w:style>
  <w:style w:type="paragraph" w:styleId="ad">
    <w:name w:val="Balloon Text"/>
    <w:basedOn w:val="a"/>
    <w:link w:val="ae"/>
    <w:rsid w:val="000F5AC7"/>
    <w:rPr>
      <w:rFonts w:ascii="Segoe UI" w:hAnsi="Segoe UI" w:cs="Segoe UI"/>
      <w:sz w:val="18"/>
      <w:szCs w:val="18"/>
    </w:rPr>
  </w:style>
  <w:style w:type="character" w:customStyle="1" w:styleId="ae">
    <w:name w:val="吹き出し (文字)"/>
    <w:basedOn w:val="a0"/>
    <w:link w:val="ad"/>
    <w:rsid w:val="000F5AC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709</Words>
  <Characters>4043</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 Ishikawa (NTT DOCOMO)</cp:lastModifiedBy>
  <cp:revision>4</cp:revision>
  <cp:lastPrinted>2001-04-23T09:30:00Z</cp:lastPrinted>
  <dcterms:created xsi:type="dcterms:W3CDTF">2019-02-15T13:33:00Z</dcterms:created>
  <dcterms:modified xsi:type="dcterms:W3CDTF">2019-02-15T13:42:00Z</dcterms:modified>
</cp:coreProperties>
</file>